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98DB3" w14:textId="19C7573A" w:rsidR="008B5CC4" w:rsidRDefault="00000000">
      <w:pPr>
        <w:pStyle w:val="Titolo"/>
        <w:rPr>
          <w:color w:val="00CC00"/>
          <w:spacing w:val="-5"/>
        </w:rPr>
      </w:pPr>
      <w:r>
        <w:rPr>
          <w:color w:val="00CC00"/>
          <w:spacing w:val="-5"/>
        </w:rPr>
        <w:t>Allegato</w:t>
      </w:r>
      <w:r w:rsidR="00097D2E">
        <w:rPr>
          <w:color w:val="00CC00"/>
          <w:spacing w:val="-5"/>
        </w:rPr>
        <w:t xml:space="preserve"> </w:t>
      </w:r>
      <w:r>
        <w:rPr>
          <w:color w:val="00CC00"/>
          <w:spacing w:val="-5"/>
        </w:rPr>
        <w:t>1</w:t>
      </w:r>
    </w:p>
    <w:p w14:paraId="574BB9E5" w14:textId="77777777" w:rsidR="007C3C61" w:rsidRDefault="007C3C61">
      <w:pPr>
        <w:pStyle w:val="Titolo"/>
      </w:pPr>
    </w:p>
    <w:p w14:paraId="2F1A2312" w14:textId="3B96FD80" w:rsidR="00E557D0" w:rsidRDefault="0061355D" w:rsidP="0034656A">
      <w:pPr>
        <w:pStyle w:val="Corpotesto"/>
        <w:spacing w:line="480" w:lineRule="auto"/>
        <w:ind w:right="6"/>
      </w:pPr>
      <w:r>
        <w:t xml:space="preserve">Relativamente alla gestione dei principali tributi comunali e ripartendo dal risultato raggiunto sull’importazione della banca dati ordinaria </w:t>
      </w:r>
      <w:r w:rsidR="0064296B">
        <w:t>TARI</w:t>
      </w:r>
      <w:r>
        <w:t xml:space="preserve"> che ha consentito l’emissione degli avvisi 2024, lo scrivente ufficio propone per l’anno 2025 la costruzione delle banche dati IMU e TARI in accertamento per l’anno 2020. </w:t>
      </w:r>
      <w:r w:rsidR="007C3C61">
        <w:t>La motivazione risiede principalmente nell’intenzione di proseguire e perseguire l’obbiettivo principale rappresentato dall’accrescimento della capacità di riscossione in conto competenza dei crediti iscritti come tributi comunali, producendo un miglioramento delle percentuali</w:t>
      </w:r>
      <w:r w:rsidR="007C3C61">
        <w:rPr>
          <w:spacing w:val="40"/>
        </w:rPr>
        <w:t xml:space="preserve"> </w:t>
      </w:r>
      <w:r w:rsidR="007C3C61">
        <w:t>di</w:t>
      </w:r>
      <w:r w:rsidR="007C3C61">
        <w:rPr>
          <w:spacing w:val="40"/>
        </w:rPr>
        <w:t xml:space="preserve"> </w:t>
      </w:r>
      <w:r w:rsidR="007C3C61">
        <w:t>non</w:t>
      </w:r>
      <w:r w:rsidR="007C3C61">
        <w:rPr>
          <w:spacing w:val="40"/>
        </w:rPr>
        <w:t xml:space="preserve"> </w:t>
      </w:r>
      <w:r w:rsidR="007C3C61">
        <w:t>riscossione</w:t>
      </w:r>
      <w:r w:rsidR="0064296B">
        <w:t xml:space="preserve"> ai fini del calcolo del Fcde</w:t>
      </w:r>
      <w:r w:rsidR="008E4CFF">
        <w:t xml:space="preserve"> </w:t>
      </w:r>
      <w:r w:rsidR="0064296B">
        <w:t xml:space="preserve">che </w:t>
      </w:r>
      <w:r w:rsidR="00D51E5B">
        <w:t>permetterebbe</w:t>
      </w:r>
      <w:r w:rsidR="0064296B">
        <w:t xml:space="preserve"> la </w:t>
      </w:r>
      <w:r w:rsidR="007C3C61">
        <w:t>liberazione</w:t>
      </w:r>
      <w:r w:rsidR="007C3C61">
        <w:rPr>
          <w:spacing w:val="40"/>
        </w:rPr>
        <w:t xml:space="preserve"> </w:t>
      </w:r>
      <w:r w:rsidR="007C3C61">
        <w:t>di</w:t>
      </w:r>
      <w:r w:rsidR="007C3C61">
        <w:rPr>
          <w:spacing w:val="40"/>
        </w:rPr>
        <w:t xml:space="preserve"> </w:t>
      </w:r>
      <w:r w:rsidR="007C3C61">
        <w:t>nuove</w:t>
      </w:r>
      <w:r w:rsidR="007C3C61">
        <w:rPr>
          <w:spacing w:val="40"/>
        </w:rPr>
        <w:t xml:space="preserve"> </w:t>
      </w:r>
      <w:r w:rsidR="007C3C61">
        <w:t>risorse</w:t>
      </w:r>
      <w:r w:rsidR="007C3C61">
        <w:rPr>
          <w:spacing w:val="40"/>
        </w:rPr>
        <w:t xml:space="preserve"> </w:t>
      </w:r>
      <w:r w:rsidR="007C3C61">
        <w:t>da</w:t>
      </w:r>
      <w:r w:rsidR="007C3C61">
        <w:rPr>
          <w:spacing w:val="40"/>
        </w:rPr>
        <w:t xml:space="preserve"> </w:t>
      </w:r>
      <w:r w:rsidR="007C3C61">
        <w:t>mettere</w:t>
      </w:r>
      <w:r w:rsidR="007C3C61">
        <w:rPr>
          <w:spacing w:val="40"/>
        </w:rPr>
        <w:t xml:space="preserve"> </w:t>
      </w:r>
      <w:r w:rsidR="007C3C61">
        <w:t>a disposizione</w:t>
      </w:r>
      <w:r w:rsidR="007C3C61">
        <w:rPr>
          <w:spacing w:val="-13"/>
        </w:rPr>
        <w:t xml:space="preserve"> </w:t>
      </w:r>
      <w:r w:rsidR="007C3C61">
        <w:t>dell'Amministrazione</w:t>
      </w:r>
      <w:r w:rsidR="007C3C61">
        <w:rPr>
          <w:spacing w:val="-11"/>
        </w:rPr>
        <w:t xml:space="preserve"> </w:t>
      </w:r>
      <w:r w:rsidR="007C3C61">
        <w:rPr>
          <w:spacing w:val="-2"/>
        </w:rPr>
        <w:t>Comunale.</w:t>
      </w:r>
      <w:r w:rsidR="007C3C61">
        <w:t xml:space="preserve"> </w:t>
      </w:r>
      <w:r w:rsidR="0034656A" w:rsidRPr="0034656A">
        <w:t xml:space="preserve">Si ritiene importante ricordare che </w:t>
      </w:r>
      <w:r w:rsidR="008E4CFF">
        <w:t>determinare un numero sempre maggiore di automatismi sul</w:t>
      </w:r>
      <w:r w:rsidR="0034656A" w:rsidRPr="0034656A">
        <w:t xml:space="preserve"> processo di gestione dei tributi consente una</w:t>
      </w:r>
      <w:r w:rsidR="0034656A">
        <w:t xml:space="preserve"> </w:t>
      </w:r>
      <w:r w:rsidR="0034656A" w:rsidRPr="0034656A">
        <w:t xml:space="preserve">più efficiente e tempestiva </w:t>
      </w:r>
      <w:r w:rsidR="0034656A">
        <w:t xml:space="preserve">emissione </w:t>
      </w:r>
      <w:r w:rsidR="0034656A" w:rsidRPr="0034656A">
        <w:t>degli accertamenti</w:t>
      </w:r>
      <w:r w:rsidR="0034656A">
        <w:t xml:space="preserve">, accrescendo </w:t>
      </w:r>
      <w:r w:rsidR="00D51E5B">
        <w:t xml:space="preserve">al contempo </w:t>
      </w:r>
      <w:r w:rsidR="0034656A">
        <w:t>il gettito derivante dal</w:t>
      </w:r>
      <w:r w:rsidR="0034656A" w:rsidRPr="0034656A">
        <w:t xml:space="preserve">la riscossione delle imposte locali. Questa operazione migliorerà la trasparenza e la precisione delle informazioni fiscali, ottimizzando le risorse interne e riducendo </w:t>
      </w:r>
      <w:r w:rsidR="008E4CFF">
        <w:t>i margini di</w:t>
      </w:r>
      <w:r w:rsidR="0034656A" w:rsidRPr="0034656A">
        <w:t xml:space="preserve"> error</w:t>
      </w:r>
      <w:r w:rsidR="008E4CFF">
        <w:t>e</w:t>
      </w:r>
      <w:r w:rsidR="0034656A" w:rsidRPr="0034656A">
        <w:t>. L'integrazione della banca dati permetterà inoltre di monitorare in modo più accurato la situazione fiscale dei contribuenti, facilitando l'individuazione di eventuali irregolarità e il recupero dell’evasion</w:t>
      </w:r>
      <w:r w:rsidR="00D51E5B">
        <w:t>e</w:t>
      </w:r>
      <w:r w:rsidR="0034656A" w:rsidRPr="0034656A">
        <w:t>.</w:t>
      </w:r>
      <w:r w:rsidR="0034656A">
        <w:t xml:space="preserve"> </w:t>
      </w:r>
      <w:r>
        <w:t>L’attività in questione passa attraverso una prima fase che si concretizza nell’acquisizione del data base di conversione</w:t>
      </w:r>
      <w:r w:rsidR="002D0C15">
        <w:t>,</w:t>
      </w:r>
      <w:r>
        <w:t xml:space="preserve"> </w:t>
      </w:r>
      <w:r w:rsidR="002D0C15">
        <w:t xml:space="preserve">risultato delle operazioni di </w:t>
      </w:r>
      <w:r>
        <w:t>importazione dei dati da terzi gestionali</w:t>
      </w:r>
      <w:r w:rsidR="002D0C15">
        <w:t xml:space="preserve"> verso l’applicativo messo a disposizione dalla software house del Comune.</w:t>
      </w:r>
      <w:r w:rsidR="00125409">
        <w:t xml:space="preserve"> A conferma della conclusione del primo step verrà prodotta idonea dichiarazione attestante il buon esito della procedura</w:t>
      </w:r>
      <w:r w:rsidR="009861E8">
        <w:t xml:space="preserve"> che dovrà avvenire entro il primo trimestre del 2025</w:t>
      </w:r>
      <w:r w:rsidR="00125409">
        <w:t>. La seconda fase</w:t>
      </w:r>
      <w:r w:rsidR="00E557D0">
        <w:t xml:space="preserve"> rappresenta la parte</w:t>
      </w:r>
      <w:r w:rsidR="00125409">
        <w:t xml:space="preserve"> </w:t>
      </w:r>
      <w:r w:rsidR="00E557D0">
        <w:t>più impegnativa del progetto perché</w:t>
      </w:r>
      <w:r w:rsidR="00125409">
        <w:t xml:space="preserve"> l’ufficio </w:t>
      </w:r>
      <w:r w:rsidR="00E557D0">
        <w:t>dovrà occuparsi delle operazioni di bonifica delle banche dati IMU e TARI</w:t>
      </w:r>
      <w:r w:rsidR="005E4757">
        <w:t>,</w:t>
      </w:r>
      <w:r w:rsidR="00E557D0">
        <w:t xml:space="preserve"> che al momento riportano dati per l’anno 2017</w:t>
      </w:r>
      <w:r w:rsidR="005E4757">
        <w:t>,</w:t>
      </w:r>
      <w:r w:rsidR="00E557D0">
        <w:t xml:space="preserve"> al fine di predisporre tutti gli aggiornamenti necessari all’elaborazione di un ruolo per gli accertamenti sull’annualità 2020. Sulla scorta dell’esperienza </w:t>
      </w:r>
      <w:r w:rsidR="001E5247">
        <w:t xml:space="preserve">maturata </w:t>
      </w:r>
      <w:r w:rsidR="00E867D5">
        <w:t>in occasione del</w:t>
      </w:r>
      <w:r w:rsidR="001E5247">
        <w:t xml:space="preserve">l’emissione degli avvisi ordinari Tari 2024, </w:t>
      </w:r>
      <w:r w:rsidR="00966DAA">
        <w:t xml:space="preserve">le maggiori criticità riscontrate hanno riguardato l’allineamento della banca dati con le informazioni aggiornate relative </w:t>
      </w:r>
      <w:r w:rsidR="001A4BD8">
        <w:t xml:space="preserve">ad ogni singolo contribuente </w:t>
      </w:r>
      <w:r w:rsidR="00966DAA">
        <w:t>che si traducev</w:t>
      </w:r>
      <w:r w:rsidR="001A4BD8">
        <w:t>a</w:t>
      </w:r>
      <w:r w:rsidR="00966DAA">
        <w:t xml:space="preserve"> </w:t>
      </w:r>
      <w:r w:rsidR="005E4757">
        <w:t xml:space="preserve">principalmente </w:t>
      </w:r>
      <w:r w:rsidR="00966DAA">
        <w:t xml:space="preserve">in una minuziosa attività di controllo e correzione </w:t>
      </w:r>
      <w:r w:rsidR="001A4BD8">
        <w:t>degli indirizzi di notifica degli atti e delle posizioni debitorie</w:t>
      </w:r>
      <w:r w:rsidR="001858B1">
        <w:t xml:space="preserve"> dei soggetti inadempienti</w:t>
      </w:r>
      <w:r w:rsidR="001A4BD8">
        <w:t>.</w:t>
      </w:r>
      <w:r w:rsidR="009861E8">
        <w:t xml:space="preserve"> La misurazione del raggiungimento del target avverrà attraverso la produzione </w:t>
      </w:r>
      <w:r w:rsidR="0002525B">
        <w:t xml:space="preserve">del ruolo in formato excel e </w:t>
      </w:r>
      <w:r w:rsidR="009861E8">
        <w:t xml:space="preserve">di idonea determina di accertamento dei ruoli sugli accertamenti da elaborare entro il terzo trimestre 2025. L’ultima fase </w:t>
      </w:r>
      <w:r w:rsidR="005E4757">
        <w:t>interesserà</w:t>
      </w:r>
      <w:r w:rsidR="009861E8">
        <w:t xml:space="preserve"> </w:t>
      </w:r>
      <w:r w:rsidR="0002525B">
        <w:t>l’emissione ed invio degli atti di accertamento</w:t>
      </w:r>
      <w:r w:rsidR="005E4757">
        <w:t>: a tal fine sarà necessario individuare</w:t>
      </w:r>
      <w:r w:rsidR="00673AC0">
        <w:t xml:space="preserve"> </w:t>
      </w:r>
      <w:r w:rsidR="005E4757">
        <w:t xml:space="preserve">un </w:t>
      </w:r>
      <w:r w:rsidR="00673AC0">
        <w:t xml:space="preserve">operatore economico </w:t>
      </w:r>
      <w:r w:rsidR="005E4757">
        <w:t xml:space="preserve"> al quale affidare i</w:t>
      </w:r>
      <w:r w:rsidR="00673AC0">
        <w:t>l servizio di stampa e postalizzazione</w:t>
      </w:r>
      <w:r w:rsidR="007C3C61">
        <w:t xml:space="preserve">. </w:t>
      </w:r>
      <w:r w:rsidR="003A2CBD">
        <w:t>Si precisa che a</w:t>
      </w:r>
      <w:r w:rsidR="007C3C61">
        <w:t xml:space="preserve">nche </w:t>
      </w:r>
      <w:r w:rsidR="003A2CBD">
        <w:t>quest’ultimo step</w:t>
      </w:r>
      <w:r w:rsidR="007C3C61">
        <w:t xml:space="preserve"> dovrà avvenire entro e non oltre il terzo trimestre 2025 e per il </w:t>
      </w:r>
      <w:r w:rsidR="007C3C61">
        <w:lastRenderedPageBreak/>
        <w:t xml:space="preserve">raggiungimento dell’obbiettivo farà fede la distinta prodotta dagli uffici postali. </w:t>
      </w:r>
    </w:p>
    <w:sectPr w:rsidR="00E557D0" w:rsidSect="007C3C61">
      <w:type w:val="continuous"/>
      <w:pgSz w:w="11900" w:h="16840"/>
      <w:pgMar w:top="1100" w:right="1133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altName w:val="Bahnschrift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31AE8"/>
    <w:multiLevelType w:val="hybridMultilevel"/>
    <w:tmpl w:val="C342525C"/>
    <w:lvl w:ilvl="0" w:tplc="E2381B22">
      <w:numFmt w:val="bullet"/>
      <w:lvlText w:val="–"/>
      <w:lvlJc w:val="left"/>
      <w:pPr>
        <w:ind w:left="72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64EC1990">
      <w:numFmt w:val="bullet"/>
      <w:lvlText w:val="•"/>
      <w:lvlJc w:val="left"/>
      <w:pPr>
        <w:ind w:left="1611" w:hanging="360"/>
      </w:pPr>
      <w:rPr>
        <w:rFonts w:hint="default"/>
        <w:lang w:val="it-IT" w:eastAsia="en-US" w:bidi="ar-SA"/>
      </w:rPr>
    </w:lvl>
    <w:lvl w:ilvl="2" w:tplc="32F65C04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3" w:tplc="7F321684">
      <w:numFmt w:val="bullet"/>
      <w:lvlText w:val="•"/>
      <w:lvlJc w:val="left"/>
      <w:pPr>
        <w:ind w:left="3394" w:hanging="360"/>
      </w:pPr>
      <w:rPr>
        <w:rFonts w:hint="default"/>
        <w:lang w:val="it-IT" w:eastAsia="en-US" w:bidi="ar-SA"/>
      </w:rPr>
    </w:lvl>
    <w:lvl w:ilvl="4" w:tplc="4A805EC6">
      <w:numFmt w:val="bullet"/>
      <w:lvlText w:val="•"/>
      <w:lvlJc w:val="left"/>
      <w:pPr>
        <w:ind w:left="4285" w:hanging="360"/>
      </w:pPr>
      <w:rPr>
        <w:rFonts w:hint="default"/>
        <w:lang w:val="it-IT" w:eastAsia="en-US" w:bidi="ar-SA"/>
      </w:rPr>
    </w:lvl>
    <w:lvl w:ilvl="5" w:tplc="361297B8">
      <w:numFmt w:val="bullet"/>
      <w:lvlText w:val="•"/>
      <w:lvlJc w:val="left"/>
      <w:pPr>
        <w:ind w:left="5177" w:hanging="360"/>
      </w:pPr>
      <w:rPr>
        <w:rFonts w:hint="default"/>
        <w:lang w:val="it-IT" w:eastAsia="en-US" w:bidi="ar-SA"/>
      </w:rPr>
    </w:lvl>
    <w:lvl w:ilvl="6" w:tplc="EBEA2052">
      <w:numFmt w:val="bullet"/>
      <w:lvlText w:val="•"/>
      <w:lvlJc w:val="left"/>
      <w:pPr>
        <w:ind w:left="6068" w:hanging="360"/>
      </w:pPr>
      <w:rPr>
        <w:rFonts w:hint="default"/>
        <w:lang w:val="it-IT" w:eastAsia="en-US" w:bidi="ar-SA"/>
      </w:rPr>
    </w:lvl>
    <w:lvl w:ilvl="7" w:tplc="5906BAC2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8" w:tplc="3AF2B8D0">
      <w:numFmt w:val="bullet"/>
      <w:lvlText w:val="•"/>
      <w:lvlJc w:val="left"/>
      <w:pPr>
        <w:ind w:left="7851" w:hanging="360"/>
      </w:pPr>
      <w:rPr>
        <w:rFonts w:hint="default"/>
        <w:lang w:val="it-IT" w:eastAsia="en-US" w:bidi="ar-SA"/>
      </w:rPr>
    </w:lvl>
  </w:abstractNum>
  <w:num w:numId="1" w16cid:durableId="1164591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CC4"/>
    <w:rsid w:val="0002525B"/>
    <w:rsid w:val="00097D2E"/>
    <w:rsid w:val="00125409"/>
    <w:rsid w:val="001858B1"/>
    <w:rsid w:val="001A4BD8"/>
    <w:rsid w:val="001E5247"/>
    <w:rsid w:val="002B5A9A"/>
    <w:rsid w:val="002D0C15"/>
    <w:rsid w:val="0034656A"/>
    <w:rsid w:val="003A2CBD"/>
    <w:rsid w:val="005E4757"/>
    <w:rsid w:val="0061355D"/>
    <w:rsid w:val="0064296B"/>
    <w:rsid w:val="00673AC0"/>
    <w:rsid w:val="00777F98"/>
    <w:rsid w:val="007C3C61"/>
    <w:rsid w:val="0089664A"/>
    <w:rsid w:val="008B5CC4"/>
    <w:rsid w:val="008E4CFF"/>
    <w:rsid w:val="00966DAA"/>
    <w:rsid w:val="009861E8"/>
    <w:rsid w:val="009D07CC"/>
    <w:rsid w:val="009E4E28"/>
    <w:rsid w:val="00A11B9A"/>
    <w:rsid w:val="00D51E5B"/>
    <w:rsid w:val="00E557D0"/>
    <w:rsid w:val="00E8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61B8D"/>
  <w15:docId w15:val="{FF75CBA0-20F3-498F-ADB8-3DAB8B94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"/>
      <w:jc w:val="both"/>
    </w:pPr>
  </w:style>
  <w:style w:type="paragraph" w:styleId="Titolo">
    <w:name w:val="Title"/>
    <w:basedOn w:val="Normale"/>
    <w:uiPriority w:val="10"/>
    <w:qFormat/>
    <w:pPr>
      <w:spacing w:before="25"/>
      <w:ind w:left="2"/>
    </w:pPr>
    <w:rPr>
      <w:rFonts w:ascii="Bahnschrift" w:eastAsia="Bahnschrift" w:hAnsi="Bahnschrift" w:cs="Bahnschrift"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72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 6</dc:creator>
  <cp:lastModifiedBy>Simone Giusti</cp:lastModifiedBy>
  <cp:revision>19</cp:revision>
  <dcterms:created xsi:type="dcterms:W3CDTF">2025-01-24T15:21:00Z</dcterms:created>
  <dcterms:modified xsi:type="dcterms:W3CDTF">2025-01-26T09:04:00Z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4.1.12</vt:lpwstr>
  </property>
  <property fmtid="{D5CDD505-2E9C-101B-9397-08002B2CF9AE}" pid="5" name="LastSaved">
    <vt:filetime>2023-10-30T00:00:00Z</vt:filetime>
  </property>
</Properties>
</file>